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INFORME DELIMITACIÓN DE MEDIOS Y CANALES PARA LA TRANSMISIÓN DE LOS BENEFICIOS DE LA GASTRONOMÍA TRADICIONAL ASIÁTICA - PROYECTO DE GRADO “ITADAKIMASU!”</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rtl w:val="0"/>
        </w:rPr>
      </w:r>
    </w:p>
    <w:p w:rsidR="00000000" w:rsidDel="00000000" w:rsidP="00000000" w:rsidRDefault="00000000" w:rsidRPr="00000000" w14:paraId="00000006">
      <w:pPr>
        <w:jc w:val="center"/>
        <w:rPr>
          <w:b w:val="1"/>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Trabajo presentado por: </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b w:val="1"/>
          <w:rtl w:val="0"/>
        </w:rPr>
        <w:t xml:space="preserve">ANDREA LUCIA AYALA HENAO</w:t>
      </w:r>
      <w:r w:rsidDel="00000000" w:rsidR="00000000" w:rsidRPr="00000000">
        <w:rPr>
          <w:rtl w:val="0"/>
        </w:rPr>
        <w:t xml:space="preserve"> </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Asesora del proyecto</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b w:val="1"/>
          <w:rtl w:val="0"/>
        </w:rPr>
        <w:t xml:space="preserve">DIANA MILENA ARISTIZABAL </w:t>
      </w:r>
      <w:r w:rsidDel="00000000" w:rsidR="00000000" w:rsidRPr="00000000">
        <w:rPr>
          <w:rtl w:val="0"/>
        </w:rPr>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after="160" w:lineRule="auto"/>
        <w:rPr/>
      </w:pPr>
      <w:r w:rsidDel="00000000" w:rsidR="00000000" w:rsidRPr="00000000">
        <w:rPr>
          <w:rtl w:val="0"/>
        </w:rPr>
        <w:t xml:space="preserve"> </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Carrera</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b w:val="1"/>
        </w:rPr>
      </w:pPr>
      <w:r w:rsidDel="00000000" w:rsidR="00000000" w:rsidRPr="00000000">
        <w:rPr>
          <w:b w:val="1"/>
          <w:rtl w:val="0"/>
        </w:rPr>
        <w:t xml:space="preserve">DISEÑO DE COMUNICACIÓN VISUAL</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Tema</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b w:val="1"/>
        </w:rPr>
      </w:pPr>
      <w:r w:rsidDel="00000000" w:rsidR="00000000" w:rsidRPr="00000000">
        <w:rPr>
          <w:b w:val="1"/>
          <w:rtl w:val="0"/>
        </w:rPr>
        <w:t xml:space="preserve">COMIDA TRADICIONAL ASIÁTICA COMO MOTOR DE BIENESTAR UNIVERSITARIO</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t xml:space="preserve"> </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rtl w:val="0"/>
        </w:rPr>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pPr>
      <w:r w:rsidDel="00000000" w:rsidR="00000000" w:rsidRPr="00000000">
        <w:rPr>
          <w:b w:val="1"/>
          <w:rtl w:val="0"/>
        </w:rPr>
        <w:t xml:space="preserve">PONTIFICIA UNIVERSIDAD JAVERIANA, CALI</w:t>
      </w:r>
      <w:r w:rsidDel="00000000" w:rsidR="00000000" w:rsidRPr="00000000">
        <w:rPr>
          <w:rtl w:val="0"/>
        </w:rPr>
        <w:t xml:space="preserve"> </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b w:val="1"/>
        </w:rPr>
      </w:pPr>
      <w:r w:rsidDel="00000000" w:rsidR="00000000" w:rsidRPr="00000000">
        <w:rPr>
          <w:b w:val="1"/>
          <w:rtl w:val="0"/>
        </w:rPr>
        <w:t xml:space="preserve">CALI</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center"/>
        <w:rPr>
          <w:b w:val="1"/>
        </w:rPr>
      </w:pPr>
      <w:r w:rsidDel="00000000" w:rsidR="00000000" w:rsidRPr="00000000">
        <w:rPr>
          <w:b w:val="1"/>
          <w:rtl w:val="0"/>
        </w:rPr>
        <w:t xml:space="preserve">SEPTIEMBRE 2024</w:t>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spacing w:line="360" w:lineRule="auto"/>
        <w:jc w:val="both"/>
        <w:rPr>
          <w:b w:val="1"/>
        </w:rPr>
      </w:pPr>
      <w:r w:rsidDel="00000000" w:rsidR="00000000" w:rsidRPr="00000000">
        <w:rPr>
          <w:rtl w:val="0"/>
        </w:rPr>
      </w:r>
    </w:p>
    <w:p w:rsidR="00000000" w:rsidDel="00000000" w:rsidP="00000000" w:rsidRDefault="00000000" w:rsidRPr="00000000" w14:paraId="00000021">
      <w:pPr>
        <w:spacing w:line="360" w:lineRule="auto"/>
        <w:jc w:val="both"/>
        <w:rPr>
          <w:b w:val="1"/>
        </w:rPr>
      </w:pPr>
      <w:r w:rsidDel="00000000" w:rsidR="00000000" w:rsidRPr="00000000">
        <w:rPr>
          <w:b w:val="1"/>
          <w:rtl w:val="0"/>
        </w:rPr>
        <w:t xml:space="preserve">OBJETIVO DEL INFORME</w:t>
      </w:r>
    </w:p>
    <w:p w:rsidR="00000000" w:rsidDel="00000000" w:rsidP="00000000" w:rsidRDefault="00000000" w:rsidRPr="00000000" w14:paraId="00000022">
      <w:pPr>
        <w:spacing w:line="360" w:lineRule="auto"/>
        <w:jc w:val="both"/>
        <w:rPr/>
      </w:pPr>
      <w:r w:rsidDel="00000000" w:rsidR="00000000" w:rsidRPr="00000000">
        <w:rPr>
          <w:rtl w:val="0"/>
        </w:rPr>
        <w:t xml:space="preserve">El propósito de este informe es evaluar y determinar los medios y canales de comunicación más efectivos para promover los beneficios de la gastronomía tradicional asiática (japonesa y surcoreana), fomentando hábitos alimenticios más saludables entre los estudiantes de la Pontificia Universidad Javeriana, Cali. Cumpliendo el segundo objetivo específico de mi proyecto de grado, se llevará a cabo un análisis exhaustivo de las preferencias, hábitos y receptividad de los estudiantes hacia diferentes medios y canales de comunicación.</w:t>
      </w:r>
    </w:p>
    <w:p w:rsidR="00000000" w:rsidDel="00000000" w:rsidP="00000000" w:rsidRDefault="00000000" w:rsidRPr="00000000" w14:paraId="00000023">
      <w:pPr>
        <w:spacing w:line="360" w:lineRule="auto"/>
        <w:jc w:val="both"/>
        <w:rPr/>
      </w:pPr>
      <w:r w:rsidDel="00000000" w:rsidR="00000000" w:rsidRPr="00000000">
        <w:rPr>
          <w:rtl w:val="0"/>
        </w:rPr>
      </w:r>
    </w:p>
    <w:p w:rsidR="00000000" w:rsidDel="00000000" w:rsidP="00000000" w:rsidRDefault="00000000" w:rsidRPr="00000000" w14:paraId="00000024">
      <w:pPr>
        <w:spacing w:line="360" w:lineRule="auto"/>
        <w:jc w:val="both"/>
        <w:rPr/>
      </w:pPr>
      <w:r w:rsidDel="00000000" w:rsidR="00000000" w:rsidRPr="00000000">
        <w:rPr>
          <w:rtl w:val="0"/>
        </w:rPr>
        <w:t xml:space="preserve">El informe se basará en la recopilación y evaluación de datos cualitativos y cuantitativos, incluyendo una encuesta, entrevistas semi estructuradas y focus group, para identificar los canales más accesibles y efectivos para transmitir los beneficios de la gastronomía tradicional asiática y motivar cambios de los hábitos alimenticios. También, se incluirá una revisión de referentes y un análisis general de canales de comunicación utilizados en contextos similares. El análisis de estos elementos, me permitirá delimitar y definir los medios y canales que se ajusten a la estrategia del proyecto, buscando obtener una mayor resonancia y efectividad en el mensaje dirigido a la audiencia universitaria. </w:t>
      </w:r>
    </w:p>
    <w:p w:rsidR="00000000" w:rsidDel="00000000" w:rsidP="00000000" w:rsidRDefault="00000000" w:rsidRPr="00000000" w14:paraId="00000025">
      <w:pPr>
        <w:spacing w:line="360" w:lineRule="auto"/>
        <w:jc w:val="both"/>
        <w:rPr/>
      </w:pPr>
      <w:r w:rsidDel="00000000" w:rsidR="00000000" w:rsidRPr="00000000">
        <w:rPr>
          <w:rtl w:val="0"/>
        </w:rPr>
      </w:r>
    </w:p>
    <w:p w:rsidR="00000000" w:rsidDel="00000000" w:rsidP="00000000" w:rsidRDefault="00000000" w:rsidRPr="00000000" w14:paraId="00000026">
      <w:pPr>
        <w:spacing w:line="360" w:lineRule="auto"/>
        <w:jc w:val="both"/>
        <w:rPr/>
      </w:pPr>
      <w:r w:rsidDel="00000000" w:rsidR="00000000" w:rsidRPr="00000000">
        <w:rPr>
          <w:rtl w:val="0"/>
        </w:rPr>
      </w:r>
    </w:p>
    <w:p w:rsidR="00000000" w:rsidDel="00000000" w:rsidP="00000000" w:rsidRDefault="00000000" w:rsidRPr="00000000" w14:paraId="00000027">
      <w:pPr>
        <w:rPr>
          <w:b w:val="1"/>
        </w:rPr>
      </w:pPr>
      <w:r w:rsidDel="00000000" w:rsidR="00000000" w:rsidRPr="00000000">
        <w:rPr>
          <w:rtl w:val="0"/>
        </w:rPr>
      </w:r>
    </w:p>
    <w:p w:rsidR="00000000" w:rsidDel="00000000" w:rsidP="00000000" w:rsidRDefault="00000000" w:rsidRPr="00000000" w14:paraId="00000028">
      <w:pPr>
        <w:rPr>
          <w:b w:val="1"/>
        </w:rPr>
      </w:pPr>
      <w:r w:rsidDel="00000000" w:rsidR="00000000" w:rsidRPr="00000000">
        <w:rPr>
          <w:rtl w:val="0"/>
        </w:rPr>
      </w:r>
    </w:p>
    <w:p w:rsidR="00000000" w:rsidDel="00000000" w:rsidP="00000000" w:rsidRDefault="00000000" w:rsidRPr="00000000" w14:paraId="00000029">
      <w:pPr>
        <w:rPr>
          <w:b w:val="1"/>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rtl w:val="0"/>
        </w:rPr>
      </w:r>
    </w:p>
    <w:p w:rsidR="00000000" w:rsidDel="00000000" w:rsidP="00000000" w:rsidRDefault="00000000" w:rsidRPr="00000000" w14:paraId="0000002B">
      <w:pPr>
        <w:rPr>
          <w:b w:val="1"/>
        </w:rPr>
      </w:pPr>
      <w:r w:rsidDel="00000000" w:rsidR="00000000" w:rsidRPr="00000000">
        <w:rPr>
          <w:rtl w:val="0"/>
        </w:rPr>
      </w:r>
    </w:p>
    <w:p w:rsidR="00000000" w:rsidDel="00000000" w:rsidP="00000000" w:rsidRDefault="00000000" w:rsidRPr="00000000" w14:paraId="0000002C">
      <w:pPr>
        <w:rPr>
          <w:b w:val="1"/>
        </w:rPr>
      </w:pPr>
      <w:r w:rsidDel="00000000" w:rsidR="00000000" w:rsidRPr="00000000">
        <w:rPr>
          <w:rtl w:val="0"/>
        </w:rPr>
      </w:r>
    </w:p>
    <w:p w:rsidR="00000000" w:rsidDel="00000000" w:rsidP="00000000" w:rsidRDefault="00000000" w:rsidRPr="00000000" w14:paraId="0000002D">
      <w:pPr>
        <w:rPr>
          <w:b w:val="1"/>
        </w:rPr>
      </w:pPr>
      <w:r w:rsidDel="00000000" w:rsidR="00000000" w:rsidRPr="00000000">
        <w:rPr>
          <w:rtl w:val="0"/>
        </w:rPr>
      </w:r>
    </w:p>
    <w:p w:rsidR="00000000" w:rsidDel="00000000" w:rsidP="00000000" w:rsidRDefault="00000000" w:rsidRPr="00000000" w14:paraId="0000002E">
      <w:pPr>
        <w:rPr>
          <w:b w:val="1"/>
        </w:rPr>
      </w:pPr>
      <w:r w:rsidDel="00000000" w:rsidR="00000000" w:rsidRPr="00000000">
        <w:rPr>
          <w:rtl w:val="0"/>
        </w:rPr>
      </w:r>
    </w:p>
    <w:p w:rsidR="00000000" w:rsidDel="00000000" w:rsidP="00000000" w:rsidRDefault="00000000" w:rsidRPr="00000000" w14:paraId="0000002F">
      <w:pPr>
        <w:rPr>
          <w:b w:val="1"/>
        </w:rPr>
      </w:pPr>
      <w:r w:rsidDel="00000000" w:rsidR="00000000" w:rsidRPr="00000000">
        <w:rPr>
          <w:rtl w:val="0"/>
        </w:rPr>
      </w:r>
    </w:p>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rPr>
          <w:b w:val="1"/>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rtl w:val="0"/>
        </w:rPr>
      </w:r>
    </w:p>
    <w:p w:rsidR="00000000" w:rsidDel="00000000" w:rsidP="00000000" w:rsidRDefault="00000000" w:rsidRPr="00000000" w14:paraId="00000034">
      <w:pPr>
        <w:rPr>
          <w:b w:val="1"/>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rtl w:val="0"/>
        </w:rPr>
      </w:r>
    </w:p>
    <w:p w:rsidR="00000000" w:rsidDel="00000000" w:rsidP="00000000" w:rsidRDefault="00000000" w:rsidRPr="00000000" w14:paraId="00000036">
      <w:pPr>
        <w:rPr>
          <w:b w:val="1"/>
        </w:rPr>
      </w:pPr>
      <w:r w:rsidDel="00000000" w:rsidR="00000000" w:rsidRPr="00000000">
        <w:rPr>
          <w:rtl w:val="0"/>
        </w:rPr>
      </w:r>
    </w:p>
    <w:p w:rsidR="00000000" w:rsidDel="00000000" w:rsidP="00000000" w:rsidRDefault="00000000" w:rsidRPr="00000000" w14:paraId="00000037">
      <w:pPr>
        <w:rPr>
          <w:b w:val="1"/>
        </w:rPr>
      </w:pPr>
      <w:r w:rsidDel="00000000" w:rsidR="00000000" w:rsidRPr="00000000">
        <w:rPr>
          <w:rtl w:val="0"/>
        </w:rPr>
      </w:r>
    </w:p>
    <w:p w:rsidR="00000000" w:rsidDel="00000000" w:rsidP="00000000" w:rsidRDefault="00000000" w:rsidRPr="00000000" w14:paraId="00000038">
      <w:pPr>
        <w:rPr>
          <w:b w:val="1"/>
        </w:rPr>
      </w:pPr>
      <w:r w:rsidDel="00000000" w:rsidR="00000000" w:rsidRPr="00000000">
        <w:rPr>
          <w:rtl w:val="0"/>
        </w:rPr>
      </w:r>
    </w:p>
    <w:p w:rsidR="00000000" w:rsidDel="00000000" w:rsidP="00000000" w:rsidRDefault="00000000" w:rsidRPr="00000000" w14:paraId="00000039">
      <w:pPr>
        <w:rPr>
          <w:b w:val="1"/>
        </w:rPr>
      </w:pPr>
      <w:r w:rsidDel="00000000" w:rsidR="00000000" w:rsidRPr="00000000">
        <w:rPr>
          <w:rtl w:val="0"/>
        </w:rPr>
      </w:r>
    </w:p>
    <w:p w:rsidR="00000000" w:rsidDel="00000000" w:rsidP="00000000" w:rsidRDefault="00000000" w:rsidRPr="00000000" w14:paraId="0000003A">
      <w:pPr>
        <w:rPr>
          <w:b w:val="1"/>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rtl w:val="0"/>
        </w:rPr>
      </w:r>
    </w:p>
    <w:p w:rsidR="00000000" w:rsidDel="00000000" w:rsidP="00000000" w:rsidRDefault="00000000" w:rsidRPr="00000000" w14:paraId="0000003D">
      <w:pPr>
        <w:rPr>
          <w:b w:val="1"/>
        </w:rPr>
      </w:pPr>
      <w:r w:rsidDel="00000000" w:rsidR="00000000" w:rsidRPr="00000000">
        <w:rPr>
          <w:rtl w:val="0"/>
        </w:rPr>
      </w:r>
    </w:p>
    <w:p w:rsidR="00000000" w:rsidDel="00000000" w:rsidP="00000000" w:rsidRDefault="00000000" w:rsidRPr="00000000" w14:paraId="0000003E">
      <w:pPr>
        <w:rPr>
          <w:b w:val="1"/>
        </w:rPr>
      </w:pPr>
      <w:r w:rsidDel="00000000" w:rsidR="00000000" w:rsidRPr="00000000">
        <w:rPr>
          <w:rtl w:val="0"/>
        </w:rPr>
      </w:r>
    </w:p>
    <w:p w:rsidR="00000000" w:rsidDel="00000000" w:rsidP="00000000" w:rsidRDefault="00000000" w:rsidRPr="00000000" w14:paraId="0000003F">
      <w:pPr>
        <w:spacing w:line="360" w:lineRule="auto"/>
        <w:jc w:val="both"/>
        <w:rPr>
          <w:b w:val="1"/>
        </w:rPr>
      </w:pPr>
      <w:r w:rsidDel="00000000" w:rsidR="00000000" w:rsidRPr="00000000">
        <w:rPr>
          <w:b w:val="1"/>
          <w:rtl w:val="0"/>
        </w:rPr>
        <w:t xml:space="preserve">CONTEXTO</w:t>
      </w:r>
    </w:p>
    <w:p w:rsidR="00000000" w:rsidDel="00000000" w:rsidP="00000000" w:rsidRDefault="00000000" w:rsidRPr="00000000" w14:paraId="00000040">
      <w:pPr>
        <w:spacing w:line="360" w:lineRule="auto"/>
        <w:jc w:val="both"/>
        <w:rPr/>
      </w:pPr>
      <w:r w:rsidDel="00000000" w:rsidR="00000000" w:rsidRPr="00000000">
        <w:rPr>
          <w:rtl w:val="0"/>
        </w:rPr>
        <w:t xml:space="preserve">Para abordar el desafío de promover la comida tradicional asiática y fomentar hábitos alimenticios más saludables entre los estudiantes universitarios, es crucial entender el papel de los medios de comunicación y las redes sociales como canales de difusión y comunicación. Los medios de comunicación abarcan una variedad de plataformas, desde medios de comunicación tradicionales como televisión, radio, y prensa escrita, hasta medios digitales que incluyen sitios web, blogs y plataformas de streaming. Las redes sociales, por su parte, son canales digitales interactivos que permiten a los usuarios crear, compartir y consumir contenido en tiempo real, Ejemplos prominentes incluyen Instagram, Twitter y TikTok, cada uno con características y audiencias distintas. </w:t>
      </w:r>
    </w:p>
    <w:p w:rsidR="00000000" w:rsidDel="00000000" w:rsidP="00000000" w:rsidRDefault="00000000" w:rsidRPr="00000000" w14:paraId="00000041">
      <w:pPr>
        <w:spacing w:line="360" w:lineRule="auto"/>
        <w:jc w:val="both"/>
        <w:rPr/>
      </w:pPr>
      <w:r w:rsidDel="00000000" w:rsidR="00000000" w:rsidRPr="00000000">
        <w:rPr>
          <w:rtl w:val="0"/>
        </w:rPr>
      </w:r>
    </w:p>
    <w:p w:rsidR="00000000" w:rsidDel="00000000" w:rsidP="00000000" w:rsidRDefault="00000000" w:rsidRPr="00000000" w14:paraId="00000042">
      <w:pPr>
        <w:spacing w:line="360" w:lineRule="auto"/>
        <w:jc w:val="both"/>
        <w:rPr/>
      </w:pPr>
      <w:r w:rsidDel="00000000" w:rsidR="00000000" w:rsidRPr="00000000">
        <w:rPr>
          <w:rtl w:val="0"/>
        </w:rPr>
        <w:t xml:space="preserve">En un contexto universitario, los estudiantes emplean estos medios para una variedad de propósitos: desde la búsqueda de información académica y profesional hasta la búsqueda de información académica y profesional hasta la interacción social y el entretenimiento. Las redes sociales, en particular, se han convertido en una herramienta escénica para la comunicación y el acceso a información sobre salud y alimentación. Las universidades, y los estudiantes en particular, empecé esos canales para acceder a contenido educativo, particularmente en discusiones sobre bienestar y seguir tendencias relacionadas con la alimentación saludable.</w:t>
      </w:r>
    </w:p>
    <w:p w:rsidR="00000000" w:rsidDel="00000000" w:rsidP="00000000" w:rsidRDefault="00000000" w:rsidRPr="00000000" w14:paraId="00000043">
      <w:pPr>
        <w:spacing w:line="360" w:lineRule="auto"/>
        <w:jc w:val="both"/>
        <w:rPr/>
      </w:pPr>
      <w:r w:rsidDel="00000000" w:rsidR="00000000" w:rsidRPr="00000000">
        <w:rPr>
          <w:rtl w:val="0"/>
        </w:rPr>
      </w:r>
    </w:p>
    <w:p w:rsidR="00000000" w:rsidDel="00000000" w:rsidP="00000000" w:rsidRDefault="00000000" w:rsidRPr="00000000" w14:paraId="00000044">
      <w:pPr>
        <w:spacing w:line="360" w:lineRule="auto"/>
        <w:jc w:val="both"/>
        <w:rPr/>
      </w:pPr>
      <w:r w:rsidDel="00000000" w:rsidR="00000000" w:rsidRPr="00000000">
        <w:rPr>
          <w:rtl w:val="0"/>
        </w:rPr>
        <w:t xml:space="preserve">El uso de las redes sociales y medios digitales en el ámbito universitario ofrece una oportunidad valiosa para implementar estrategias de comunicación efectiva. Los estudiantes, con su familiaridad y preferencia por estos canales, pueden ser alcanzados de manera más directa y eficiente a través de plataformas que ya utilizan regularmente. La creación de contenido relevante y atractivo en estos canales puede influir positivamente en sus decisiones alimenticias y promover la adopción de hábitos más saludables.</w:t>
      </w:r>
    </w:p>
    <w:p w:rsidR="00000000" w:rsidDel="00000000" w:rsidP="00000000" w:rsidRDefault="00000000" w:rsidRPr="00000000" w14:paraId="00000045">
      <w:pPr>
        <w:spacing w:line="360" w:lineRule="auto"/>
        <w:jc w:val="both"/>
        <w:rPr/>
      </w:pPr>
      <w:r w:rsidDel="00000000" w:rsidR="00000000" w:rsidRPr="00000000">
        <w:rPr>
          <w:rtl w:val="0"/>
        </w:rPr>
      </w:r>
    </w:p>
    <w:p w:rsidR="00000000" w:rsidDel="00000000" w:rsidP="00000000" w:rsidRDefault="00000000" w:rsidRPr="00000000" w14:paraId="00000046">
      <w:pPr>
        <w:spacing w:line="360" w:lineRule="auto"/>
        <w:jc w:val="both"/>
        <w:rPr/>
      </w:pPr>
      <w:r w:rsidDel="00000000" w:rsidR="00000000" w:rsidRPr="00000000">
        <w:rPr>
          <w:rtl w:val="0"/>
        </w:rPr>
        <w:t xml:space="preserve">Al integrar los medios y redes sociales en las estrategias de comunicación del proyecto, es posible no solo difundir información sobre los beneficios de la comida tradicional asiática, sino también generar una interacción activa con los estudiantes. Está interacción fomenta la creación de comunidades digitales donde los estudiantes puedan compartir sus experiencias, desafíos y logros en torno a la adopción de hábitos alimenticios más saludables. Aprovechar el poder de estos canales, permitiría que el mensaje del proyecto llegue de manera más efectiva, adaptándose a las necesidades y comportamientos de los estudiantes universitarios, y motivando cambios positivos en su estilo de vida.</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spacing w:line="360" w:lineRule="auto"/>
        <w:jc w:val="both"/>
        <w:rPr>
          <w:b w:val="1"/>
        </w:rPr>
      </w:pPr>
      <w:r w:rsidDel="00000000" w:rsidR="00000000" w:rsidRPr="00000000">
        <w:rPr>
          <w:b w:val="1"/>
          <w:rtl w:val="0"/>
        </w:rPr>
        <w:t xml:space="preserve">METODOLOGÍA</w:t>
      </w:r>
    </w:p>
    <w:p w:rsidR="00000000" w:rsidDel="00000000" w:rsidP="00000000" w:rsidRDefault="00000000" w:rsidRPr="00000000" w14:paraId="0000004A">
      <w:pPr>
        <w:spacing w:line="360" w:lineRule="auto"/>
        <w:jc w:val="both"/>
        <w:rPr/>
      </w:pPr>
      <w:r w:rsidDel="00000000" w:rsidR="00000000" w:rsidRPr="00000000">
        <w:rPr>
          <w:rtl w:val="0"/>
        </w:rPr>
        <w:t xml:space="preserve">Entender los medios y canales de comunicación con lo que interactúan los estudiantes universitarios es clave para lograr una transmisión efectiva del mensaje que permita visualizar los beneficios de la gastronomía tradicional surcoreana y japonesa y a su vez, se promueva la adopción de hábitos alimenticios más saludables. Identificar y delimitar los medios adecuados permite no solo comprender las plataformas que los estudiantes emplean con mayir frecuencia, sino también comprenderlos y emplearlos durante la aplicación de la estrategia. En este contexto, el uso correcto de medios tradicionales y digitales, junto con redes sociales, puede ayudar a maximizar la efectividad del mensaje, buscando que llegue de manera clara y atractiva al público objetivo.</w:t>
      </w:r>
    </w:p>
    <w:p w:rsidR="00000000" w:rsidDel="00000000" w:rsidP="00000000" w:rsidRDefault="00000000" w:rsidRPr="00000000" w14:paraId="0000004B">
      <w:pPr>
        <w:spacing w:line="360" w:lineRule="auto"/>
        <w:jc w:val="both"/>
        <w:rPr/>
      </w:pPr>
      <w:r w:rsidDel="00000000" w:rsidR="00000000" w:rsidRPr="00000000">
        <w:rPr>
          <w:rtl w:val="0"/>
        </w:rPr>
      </w:r>
    </w:p>
    <w:p w:rsidR="00000000" w:rsidDel="00000000" w:rsidP="00000000" w:rsidRDefault="00000000" w:rsidRPr="00000000" w14:paraId="0000004C">
      <w:pPr>
        <w:spacing w:line="360" w:lineRule="auto"/>
        <w:jc w:val="both"/>
        <w:rPr/>
      </w:pPr>
      <w:r w:rsidDel="00000000" w:rsidR="00000000" w:rsidRPr="00000000">
        <w:rPr>
          <w:rtl w:val="0"/>
        </w:rPr>
        <w:t xml:space="preserve">Para llevar a cabo este análisis, se empleará una combinación de métodos cuantitativos y cualitativos, complementados con herramientas de benchmarking análisis de mercado. A través de una encuesta, se recogerán datos sobre las preferencias de los estudiantes en cuanto al consumo de medios y redes sociales, permitiendo identificar los canales más adecuados para la transmisión del mensaje. De manera adicional, a través de entrevistas semi estructuradas y focus group se obtendrá una comprensión más profunda de las percepciones de los estudiantes hacia los diferentes medios y su disposición a cambiar hábitos alimentarios en función de la información recibida por estos canales. </w:t>
      </w:r>
    </w:p>
    <w:p w:rsidR="00000000" w:rsidDel="00000000" w:rsidP="00000000" w:rsidRDefault="00000000" w:rsidRPr="00000000" w14:paraId="0000004D">
      <w:pPr>
        <w:spacing w:line="360" w:lineRule="auto"/>
        <w:jc w:val="both"/>
        <w:rPr/>
      </w:pPr>
      <w:r w:rsidDel="00000000" w:rsidR="00000000" w:rsidRPr="00000000">
        <w:rPr>
          <w:rtl w:val="0"/>
        </w:rPr>
      </w:r>
    </w:p>
    <w:p w:rsidR="00000000" w:rsidDel="00000000" w:rsidP="00000000" w:rsidRDefault="00000000" w:rsidRPr="00000000" w14:paraId="0000004E">
      <w:pPr>
        <w:spacing w:line="360" w:lineRule="auto"/>
        <w:jc w:val="both"/>
        <w:rPr/>
      </w:pPr>
      <w:r w:rsidDel="00000000" w:rsidR="00000000" w:rsidRPr="00000000">
        <w:rPr>
          <w:rtl w:val="0"/>
        </w:rPr>
        <w:t xml:space="preserve">Por último, se llevará a cabo un análisis comparativo de campañas existentes que utilizan medios y redes sociales para promover hábitos saludables, con el fin de identificar buenas prácticas que puedan aplicarse a este proyecto. Así mismo se evaluarán las tendencias de consumo tradicionales y digitales, incluyendo diversas plataformas, para determinar su impacto en las decisiones relacionadas a la alimentación. </w:t>
      </w:r>
    </w:p>
    <w:p w:rsidR="00000000" w:rsidDel="00000000" w:rsidP="00000000" w:rsidRDefault="00000000" w:rsidRPr="00000000" w14:paraId="0000004F">
      <w:pPr>
        <w:spacing w:line="360" w:lineRule="auto"/>
        <w:rPr>
          <w:b w:val="1"/>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rtl w:val="0"/>
        </w:rPr>
      </w:r>
    </w:p>
    <w:p w:rsidR="00000000" w:rsidDel="00000000" w:rsidP="00000000" w:rsidRDefault="00000000" w:rsidRPr="00000000" w14:paraId="00000055">
      <w:pPr>
        <w:rPr>
          <w:b w:val="1"/>
        </w:rPr>
      </w:pPr>
      <w:r w:rsidDel="00000000" w:rsidR="00000000" w:rsidRPr="00000000">
        <w:rPr>
          <w:rtl w:val="0"/>
        </w:rPr>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rPr>
          <w:b w:val="1"/>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rtl w:val="0"/>
        </w:rPr>
      </w:r>
    </w:p>
    <w:p w:rsidR="00000000" w:rsidDel="00000000" w:rsidP="00000000" w:rsidRDefault="00000000" w:rsidRPr="00000000" w14:paraId="00000059">
      <w:pPr>
        <w:rPr>
          <w:b w:val="1"/>
        </w:rPr>
      </w:pPr>
      <w:r w:rsidDel="00000000" w:rsidR="00000000" w:rsidRPr="00000000">
        <w:rPr>
          <w:rtl w:val="0"/>
        </w:rPr>
      </w:r>
    </w:p>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rPr>
          <w:b w:val="1"/>
        </w:rPr>
      </w:pPr>
      <w:r w:rsidDel="00000000" w:rsidR="00000000" w:rsidRPr="00000000">
        <w:rPr>
          <w:rtl w:val="0"/>
        </w:rPr>
      </w:r>
    </w:p>
    <w:p w:rsidR="00000000" w:rsidDel="00000000" w:rsidP="00000000" w:rsidRDefault="00000000" w:rsidRPr="00000000" w14:paraId="0000005C">
      <w:pPr>
        <w:rPr>
          <w:b w:val="1"/>
        </w:rPr>
      </w:pPr>
      <w:r w:rsidDel="00000000" w:rsidR="00000000" w:rsidRPr="00000000">
        <w:rPr>
          <w:rtl w:val="0"/>
        </w:rPr>
      </w:r>
    </w:p>
    <w:p w:rsidR="00000000" w:rsidDel="00000000" w:rsidP="00000000" w:rsidRDefault="00000000" w:rsidRPr="00000000" w14:paraId="0000005D">
      <w:pPr>
        <w:rPr>
          <w:b w:val="1"/>
        </w:rPr>
      </w:pPr>
      <w:r w:rsidDel="00000000" w:rsidR="00000000" w:rsidRPr="00000000">
        <w:rPr>
          <w:rtl w:val="0"/>
        </w:rPr>
      </w:r>
    </w:p>
    <w:p w:rsidR="00000000" w:rsidDel="00000000" w:rsidP="00000000" w:rsidRDefault="00000000" w:rsidRPr="00000000" w14:paraId="0000005E">
      <w:pPr>
        <w:numPr>
          <w:ilvl w:val="0"/>
          <w:numId w:val="1"/>
        </w:numPr>
        <w:ind w:left="720" w:hanging="360"/>
        <w:rPr>
          <w:b w:val="1"/>
          <w:u w:val="none"/>
        </w:rPr>
      </w:pPr>
      <w:r w:rsidDel="00000000" w:rsidR="00000000" w:rsidRPr="00000000">
        <w:rPr>
          <w:b w:val="1"/>
          <w:rtl w:val="0"/>
        </w:rPr>
        <w:t xml:space="preserve">ANÁLISIS ENCUESTA</w:t>
      </w:r>
    </w:p>
    <w:p w:rsidR="00000000" w:rsidDel="00000000" w:rsidP="00000000" w:rsidRDefault="00000000" w:rsidRPr="00000000" w14:paraId="0000005F">
      <w:pPr>
        <w:rPr>
          <w:shd w:fill="d9ead3" w:val="clear"/>
        </w:rPr>
      </w:pPr>
      <w:r w:rsidDel="00000000" w:rsidR="00000000" w:rsidRPr="00000000">
        <w:rPr>
          <w:shd w:fill="d9ead3" w:val="clear"/>
          <w:rtl w:val="0"/>
        </w:rPr>
        <w:t xml:space="preserve">TEXTO DE INTRODUCCIÓN QUE MENCIONE COMO ESTAS PREGUNTAS AYUDAR A DELIMITAR LOS MEDIOS</w:t>
      </w:r>
    </w:p>
    <w:p w:rsidR="00000000" w:rsidDel="00000000" w:rsidP="00000000" w:rsidRDefault="00000000" w:rsidRPr="00000000" w14:paraId="00000060">
      <w:pPr>
        <w:rPr/>
      </w:pPr>
      <w:r w:rsidDel="00000000" w:rsidR="00000000" w:rsidRPr="00000000">
        <w:rPr>
          <w:rtl w:val="0"/>
        </w:rPr>
        <w:t xml:space="preserve">A continuación, algunos de los análisis más relevantes para la delimitación de medios y canales:</w:t>
      </w:r>
    </w:p>
    <w:p w:rsidR="00000000" w:rsidDel="00000000" w:rsidP="00000000" w:rsidRDefault="00000000" w:rsidRPr="00000000" w14:paraId="00000061">
      <w:pPr>
        <w:spacing w:line="360" w:lineRule="auto"/>
        <w:jc w:val="both"/>
        <w:rPr>
          <w:b w:val="1"/>
          <w:color w:val="202124"/>
        </w:rPr>
      </w:pPr>
      <w:r w:rsidDel="00000000" w:rsidR="00000000" w:rsidRPr="00000000">
        <w:rPr>
          <w:b w:val="1"/>
          <w:color w:val="202124"/>
        </w:rPr>
        <w:drawing>
          <wp:inline distB="114300" distT="114300" distL="114300" distR="114300">
            <wp:extent cx="5731200" cy="2908300"/>
            <wp:effectExtent b="0" l="0" r="0" t="0"/>
            <wp:docPr descr="Gráfico de respuestas de formularios. Título de la pregunta: 8. ¿Qué medios utilizas más frecuentemente para conocer temas relacionados con la alimentación y salud? (Selecciona todas las que apliquen). Número de respuestas: 115 respuestas." id="3" name="image1.png"/>
            <a:graphic>
              <a:graphicData uri="http://schemas.openxmlformats.org/drawingml/2006/picture">
                <pic:pic>
                  <pic:nvPicPr>
                    <pic:cNvPr descr="Gráfico de respuestas de formularios. Título de la pregunta: 8. ¿Qué medios utilizas más frecuentemente para conocer temas relacionados con la alimentación y salud? (Selecciona todas las que apliquen). Número de respuestas: 115 respuestas." id="0" name="image1.png"/>
                    <pic:cNvPicPr preferRelativeResize="0"/>
                  </pic:nvPicPr>
                  <pic:blipFill>
                    <a:blip r:embed="rId6"/>
                    <a:srcRect b="0" l="0" r="0" t="0"/>
                    <a:stretch>
                      <a:fillRect/>
                    </a:stretch>
                  </pic:blipFill>
                  <pic:spPr>
                    <a:xfrm>
                      <a:off x="0" y="0"/>
                      <a:ext cx="5731200" cy="2908300"/>
                    </a:xfrm>
                    <a:prstGeom prst="rect"/>
                    <a:ln/>
                  </pic:spPr>
                </pic:pic>
              </a:graphicData>
            </a:graphic>
          </wp:inline>
        </w:drawing>
      </w:r>
      <w:r w:rsidDel="00000000" w:rsidR="00000000" w:rsidRPr="00000000">
        <w:rPr>
          <w:rtl w:val="0"/>
        </w:rPr>
      </w:r>
    </w:p>
    <w:p w:rsidR="00000000" w:rsidDel="00000000" w:rsidP="00000000" w:rsidRDefault="00000000" w:rsidRPr="00000000" w14:paraId="00000062">
      <w:pPr>
        <w:spacing w:line="360" w:lineRule="auto"/>
        <w:ind w:left="0" w:firstLine="0"/>
        <w:jc w:val="both"/>
        <w:rPr>
          <w:color w:val="202124"/>
        </w:rPr>
      </w:pPr>
      <w:r w:rsidDel="00000000" w:rsidR="00000000" w:rsidRPr="00000000">
        <w:rPr>
          <w:color w:val="202124"/>
          <w:rtl w:val="0"/>
        </w:rPr>
        <w:t xml:space="preserve">La pregunta ocho posee un alto valor dentro de este análisis, pues es, la pregunta que permite ver de manera literal la preferencias de los estudiantes. Por ello, y según lo evidenciado en los resultados de esta pregunta, se encontró que las redes sociales son el medio más utilizado, destacándose por su accesibilidad y facilidad de uso. En segundo lugar, Youtube y plataformas de streaming, preferidos por el tipo de contenido audiovisual que ofrecen, y, por último, las páginas web especializadas las cuales permiten una mayor personalización de la información.</w:t>
      </w:r>
    </w:p>
    <w:p w:rsidR="00000000" w:rsidDel="00000000" w:rsidP="00000000" w:rsidRDefault="00000000" w:rsidRPr="00000000" w14:paraId="00000063">
      <w:pPr>
        <w:spacing w:line="360" w:lineRule="auto"/>
        <w:ind w:left="0" w:firstLine="0"/>
        <w:jc w:val="both"/>
        <w:rPr>
          <w:color w:val="202124"/>
        </w:rPr>
      </w:pPr>
      <w:r w:rsidDel="00000000" w:rsidR="00000000" w:rsidRPr="00000000">
        <w:rPr>
          <w:rtl w:val="0"/>
        </w:rPr>
      </w:r>
    </w:p>
    <w:p w:rsidR="00000000" w:rsidDel="00000000" w:rsidP="00000000" w:rsidRDefault="00000000" w:rsidRPr="00000000" w14:paraId="00000064">
      <w:pPr>
        <w:spacing w:line="360" w:lineRule="auto"/>
        <w:ind w:left="0" w:firstLine="0"/>
        <w:jc w:val="both"/>
        <w:rPr>
          <w:color w:val="202124"/>
        </w:rPr>
      </w:pPr>
      <w:r w:rsidDel="00000000" w:rsidR="00000000" w:rsidRPr="00000000">
        <w:rPr>
          <w:color w:val="202124"/>
          <w:rtl w:val="0"/>
        </w:rPr>
        <w:t xml:space="preserve">Conocer estos patrones es crucial para el desarrollo de la estrategia, ya que delimita y centra los medios que estos canales son clave para transmitir el mensaje, dado que son los que más utilizan los jóvenes. Al enfocarnos en ellos, no sólo optimizamos la comunicación, sino que también aseguramos que el contenido llegue de manera efectiva y resonante, generando un impacto real en sus hábitos alimentarios y decisiones de salud.</w:t>
      </w:r>
    </w:p>
    <w:p w:rsidR="00000000" w:rsidDel="00000000" w:rsidP="00000000" w:rsidRDefault="00000000" w:rsidRPr="00000000" w14:paraId="00000065">
      <w:pPr>
        <w:spacing w:line="360" w:lineRule="auto"/>
        <w:jc w:val="both"/>
        <w:rPr>
          <w:b w:val="1"/>
          <w:color w:val="202124"/>
        </w:rPr>
      </w:pPr>
      <w:r w:rsidDel="00000000" w:rsidR="00000000" w:rsidRPr="00000000">
        <w:rPr>
          <w:b w:val="1"/>
          <w:color w:val="202124"/>
        </w:rPr>
        <w:drawing>
          <wp:inline distB="114300" distT="114300" distL="114300" distR="114300">
            <wp:extent cx="5731200" cy="2603500"/>
            <wp:effectExtent b="0" l="0" r="0" t="0"/>
            <wp:docPr descr="Gráfico de respuestas de formularios. Título de la pregunta: 9. ¿Con qué frecuencia interactúas con contenido digital sobre salud, nutrición o bienestar en redes sociales? (Selecciona una opción). Número de respuestas: 115 respuestas." id="1" name="image2.png"/>
            <a:graphic>
              <a:graphicData uri="http://schemas.openxmlformats.org/drawingml/2006/picture">
                <pic:pic>
                  <pic:nvPicPr>
                    <pic:cNvPr descr="Gráfico de respuestas de formularios. Título de la pregunta: 9. ¿Con qué frecuencia interactúas con contenido digital sobre salud, nutrición o bienestar en redes sociales? (Selecciona una opción). Número de respuestas: 115 respuestas." id="0" name="image2.png"/>
                    <pic:cNvPicPr preferRelativeResize="0"/>
                  </pic:nvPicPr>
                  <pic:blipFill>
                    <a:blip r:embed="rId7"/>
                    <a:srcRect b="0" l="0" r="0" t="0"/>
                    <a:stretch>
                      <a:fillRect/>
                    </a:stretch>
                  </pic:blipFill>
                  <pic:spPr>
                    <a:xfrm>
                      <a:off x="0" y="0"/>
                      <a:ext cx="5731200" cy="2603500"/>
                    </a:xfrm>
                    <a:prstGeom prst="rect"/>
                    <a:ln/>
                  </pic:spPr>
                </pic:pic>
              </a:graphicData>
            </a:graphic>
          </wp:inline>
        </w:drawing>
      </w:r>
      <w:r w:rsidDel="00000000" w:rsidR="00000000" w:rsidRPr="00000000">
        <w:rPr>
          <w:rtl w:val="0"/>
        </w:rPr>
      </w:r>
    </w:p>
    <w:p w:rsidR="00000000" w:rsidDel="00000000" w:rsidP="00000000" w:rsidRDefault="00000000" w:rsidRPr="00000000" w14:paraId="00000066">
      <w:pPr>
        <w:spacing w:line="360" w:lineRule="auto"/>
        <w:ind w:left="0" w:firstLine="0"/>
        <w:jc w:val="both"/>
        <w:rPr>
          <w:color w:val="202124"/>
        </w:rPr>
      </w:pPr>
      <w:r w:rsidDel="00000000" w:rsidR="00000000" w:rsidRPr="00000000">
        <w:rPr>
          <w:color w:val="202124"/>
          <w:rtl w:val="0"/>
        </w:rPr>
        <w:t xml:space="preserve">Es destacable que un 98% de los estudiantes interactúan con contenido digital en redes sociales, lo que indica que estos medios son utilizados habitualmente por ellos. Esta alta frecuencia de interacción sugiere que las redes sociales son un canal clave para comunicar información sobre salud, nutrición y bienestar. Conocer este patrón es fundamental para el proyecto, ya que permite centrar la estrategia en los medios que los estudiantes emplean con mayor regularidad, asegurando que el mensaje llegue de manera efectiva a un público comprometido.</w:t>
      </w:r>
    </w:p>
    <w:p w:rsidR="00000000" w:rsidDel="00000000" w:rsidP="00000000" w:rsidRDefault="00000000" w:rsidRPr="00000000" w14:paraId="00000067">
      <w:pPr>
        <w:spacing w:line="360" w:lineRule="auto"/>
        <w:ind w:left="0" w:firstLine="0"/>
        <w:jc w:val="both"/>
        <w:rPr>
          <w:color w:val="202124"/>
        </w:rPr>
      </w:pPr>
      <w:r w:rsidDel="00000000" w:rsidR="00000000" w:rsidRPr="00000000">
        <w:rPr>
          <w:rtl w:val="0"/>
        </w:rPr>
      </w:r>
    </w:p>
    <w:p w:rsidR="00000000" w:rsidDel="00000000" w:rsidP="00000000" w:rsidRDefault="00000000" w:rsidRPr="00000000" w14:paraId="00000068">
      <w:pPr>
        <w:spacing w:line="360" w:lineRule="auto"/>
        <w:jc w:val="both"/>
        <w:rPr>
          <w:b w:val="1"/>
          <w:color w:val="202124"/>
        </w:rPr>
      </w:pPr>
      <w:r w:rsidDel="00000000" w:rsidR="00000000" w:rsidRPr="00000000">
        <w:rPr>
          <w:b w:val="1"/>
          <w:color w:val="202124"/>
        </w:rPr>
        <w:drawing>
          <wp:inline distB="114300" distT="114300" distL="114300" distR="114300">
            <wp:extent cx="5731200" cy="2908300"/>
            <wp:effectExtent b="0" l="0" r="0" t="0"/>
            <wp:docPr descr="Gráfico de respuestas de formularios. Título de la pregunta: 12. ¿Cuáles de las siguientes características consideras más importantes en un recurso visual (como una aplicación, infografía o folleto) sobre alimentación saludable? (Selecciona hasta 2 opciones). Número de respuestas: 115 respuestas." id="2" name="image3.png"/>
            <a:graphic>
              <a:graphicData uri="http://schemas.openxmlformats.org/drawingml/2006/picture">
                <pic:pic>
                  <pic:nvPicPr>
                    <pic:cNvPr descr="Gráfico de respuestas de formularios. Título de la pregunta: 12. ¿Cuáles de las siguientes características consideras más importantes en un recurso visual (como una aplicación, infografía o folleto) sobre alimentación saludable? (Selecciona hasta 2 opciones). Número de respuestas: 115 respuestas." id="0" name="image3.png"/>
                    <pic:cNvPicPr preferRelativeResize="0"/>
                  </pic:nvPicPr>
                  <pic:blipFill>
                    <a:blip r:embed="rId8"/>
                    <a:srcRect b="0" l="0" r="0" t="0"/>
                    <a:stretch>
                      <a:fillRect/>
                    </a:stretch>
                  </pic:blipFill>
                  <pic:spPr>
                    <a:xfrm>
                      <a:off x="0" y="0"/>
                      <a:ext cx="5731200" cy="2908300"/>
                    </a:xfrm>
                    <a:prstGeom prst="rect"/>
                    <a:ln/>
                  </pic:spPr>
                </pic:pic>
              </a:graphicData>
            </a:graphic>
          </wp:inline>
        </w:drawing>
      </w:r>
      <w:r w:rsidDel="00000000" w:rsidR="00000000" w:rsidRPr="00000000">
        <w:rPr>
          <w:rtl w:val="0"/>
        </w:rPr>
      </w:r>
    </w:p>
    <w:p w:rsidR="00000000" w:rsidDel="00000000" w:rsidP="00000000" w:rsidRDefault="00000000" w:rsidRPr="00000000" w14:paraId="00000069">
      <w:pPr>
        <w:spacing w:line="360" w:lineRule="auto"/>
        <w:ind w:left="0" w:firstLine="0"/>
        <w:jc w:val="both"/>
        <w:rPr>
          <w:color w:val="202124"/>
        </w:rPr>
      </w:pPr>
      <w:r w:rsidDel="00000000" w:rsidR="00000000" w:rsidRPr="00000000">
        <w:rPr>
          <w:color w:val="202124"/>
          <w:rtl w:val="0"/>
        </w:rPr>
        <w:t xml:space="preserve">Aunque esta pregunta no se centra directamente en los medios y canales, las características mencionadas son cruciales para atraer y captar la atención de los estudiantes. Un diseño atractivo y moderno, junto con la facilidad para entender la información, son elementos que pueden hacer que los recursos sean más accesibles y efectivos. La incorporación de ejemplos prácticos y consejos también es esencial para hacer el contenido más relevante y aplicable a sus vidas. En resumen, al considerar estas características, podemos desarrollar recursos visuales que no sólo informen, sino que también resuenen con las necesidades y preferencias del público objetivo, aumentando así el impacto del proyecto.</w:t>
      </w:r>
    </w:p>
    <w:p w:rsidR="00000000" w:rsidDel="00000000" w:rsidP="00000000" w:rsidRDefault="00000000" w:rsidRPr="00000000" w14:paraId="0000006A">
      <w:pPr>
        <w:spacing w:line="360" w:lineRule="auto"/>
        <w:ind w:left="0" w:firstLine="0"/>
        <w:jc w:val="both"/>
        <w:rPr>
          <w:b w:val="1"/>
        </w:rPr>
      </w:pPr>
      <w:r w:rsidDel="00000000" w:rsidR="00000000" w:rsidRPr="00000000">
        <w:rPr>
          <w:rtl w:val="0"/>
        </w:rPr>
      </w:r>
    </w:p>
    <w:p w:rsidR="00000000" w:rsidDel="00000000" w:rsidP="00000000" w:rsidRDefault="00000000" w:rsidRPr="00000000" w14:paraId="0000006B">
      <w:pPr>
        <w:spacing w:line="360" w:lineRule="auto"/>
        <w:jc w:val="both"/>
        <w:rPr>
          <w:b w:val="1"/>
        </w:rPr>
      </w:pPr>
      <w:r w:rsidDel="00000000" w:rsidR="00000000" w:rsidRPr="00000000">
        <w:rPr>
          <w:b w:val="1"/>
          <w:rtl w:val="0"/>
        </w:rPr>
        <w:t xml:space="preserve">CONCLUSIONES GENERALES RESULTADOS ENCUESTA</w:t>
      </w:r>
    </w:p>
    <w:p w:rsidR="00000000" w:rsidDel="00000000" w:rsidP="00000000" w:rsidRDefault="00000000" w:rsidRPr="00000000" w14:paraId="0000006C">
      <w:pPr>
        <w:spacing w:line="360" w:lineRule="auto"/>
        <w:jc w:val="both"/>
        <w:rPr>
          <w:b w:val="1"/>
        </w:rPr>
      </w:pPr>
      <w:r w:rsidDel="00000000" w:rsidR="00000000" w:rsidRPr="00000000">
        <w:rPr>
          <w:rtl w:val="0"/>
        </w:rPr>
      </w:r>
    </w:p>
    <w:p w:rsidR="00000000" w:rsidDel="00000000" w:rsidP="00000000" w:rsidRDefault="00000000" w:rsidRPr="00000000" w14:paraId="0000006D">
      <w:pPr>
        <w:spacing w:line="360" w:lineRule="auto"/>
        <w:ind w:left="0" w:firstLine="0"/>
        <w:jc w:val="both"/>
        <w:rPr>
          <w:b w:val="1"/>
        </w:rPr>
      </w:pPr>
      <w:r w:rsidDel="00000000" w:rsidR="00000000" w:rsidRPr="00000000">
        <w:rPr>
          <w:rtl w:val="0"/>
        </w:rPr>
        <w:t xml:space="preserve">Los resultados de las encuestas muestran que los estudiantes universitarios utilizan frecuentemente redes sociales, YouTube y páginas web especializadas para interactuar con contenido sobre salud, nutrición y bienestar. Este alto nivel de participación, con un 98% de los estudiantes involucrados, destaca la importancia de estos canales como medios clave para transmitir mensajes efectivos. Además, la preferencia por características como un diseño atractivo, la facilidad de comprensión y la personalización en los recursos visuales subraya la necesidad de crear contenido que no solo informe, sino que también resuene con sus intereses y necesidades. Al integrar estos elementos en la estrategia, se puede fomentar una mayor participación y generar un impacto significativo en los hábitos alimentarios de los estudiantes, asegurando que la comunicación sobre alimentación saludable llegue de manera efectiva a su público objetivo.</w:t>
      </w:r>
      <w:r w:rsidDel="00000000" w:rsidR="00000000" w:rsidRPr="00000000">
        <w:br w:type="page"/>
      </w:r>
      <w:r w:rsidDel="00000000" w:rsidR="00000000" w:rsidRPr="00000000">
        <w:rPr>
          <w:rtl w:val="0"/>
        </w:rPr>
      </w:r>
    </w:p>
    <w:p w:rsidR="00000000" w:rsidDel="00000000" w:rsidP="00000000" w:rsidRDefault="00000000" w:rsidRPr="00000000" w14:paraId="0000006E">
      <w:pPr>
        <w:numPr>
          <w:ilvl w:val="0"/>
          <w:numId w:val="1"/>
        </w:numPr>
        <w:ind w:left="720" w:hanging="360"/>
        <w:rPr>
          <w:b w:val="1"/>
          <w:u w:val="none"/>
        </w:rPr>
      </w:pPr>
      <w:r w:rsidDel="00000000" w:rsidR="00000000" w:rsidRPr="00000000">
        <w:rPr>
          <w:b w:val="1"/>
          <w:rtl w:val="0"/>
        </w:rPr>
        <w:t xml:space="preserve">ANÁLISIS ENTREVISTAS Y FOCUS GROUP</w:t>
      </w:r>
    </w:p>
    <w:p w:rsidR="00000000" w:rsidDel="00000000" w:rsidP="00000000" w:rsidRDefault="00000000" w:rsidRPr="00000000" w14:paraId="0000006F">
      <w:pPr>
        <w:numPr>
          <w:ilvl w:val="0"/>
          <w:numId w:val="1"/>
        </w:numPr>
        <w:ind w:left="720" w:hanging="360"/>
        <w:rPr>
          <w:b w:val="1"/>
          <w:u w:val="none"/>
        </w:rPr>
      </w:pPr>
      <w:r w:rsidDel="00000000" w:rsidR="00000000" w:rsidRPr="00000000">
        <w:rPr>
          <w:b w:val="1"/>
          <w:rtl w:val="0"/>
        </w:rPr>
        <w:t xml:space="preserve">ANÁLISIS DE REFERENTES </w:t>
      </w:r>
    </w:p>
    <w:p w:rsidR="00000000" w:rsidDel="00000000" w:rsidP="00000000" w:rsidRDefault="00000000" w:rsidRPr="00000000" w14:paraId="00000070">
      <w:pPr>
        <w:numPr>
          <w:ilvl w:val="0"/>
          <w:numId w:val="1"/>
        </w:numPr>
        <w:ind w:left="720" w:hanging="360"/>
        <w:rPr>
          <w:b w:val="1"/>
          <w:u w:val="none"/>
        </w:rPr>
      </w:pPr>
      <w:r w:rsidDel="00000000" w:rsidR="00000000" w:rsidRPr="00000000">
        <w:rPr>
          <w:b w:val="1"/>
          <w:rtl w:val="0"/>
        </w:rPr>
        <w:t xml:space="preserve">CONCLUSIONES FINALES INFORME</w:t>
      </w:r>
    </w:p>
    <w:sectPr>
      <w:headerReference r:id="rId9" w:type="default"/>
      <w:footerReference r:id="rId1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